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44"/>
        <w:tblW w:w="6566" w:type="dxa"/>
        <w:tblLook w:val="04A0"/>
      </w:tblPr>
      <w:tblGrid>
        <w:gridCol w:w="6566"/>
      </w:tblGrid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2B5A" w:rsidRDefault="004C2B5A" w:rsidP="004C2B5A">
            <w:pPr>
              <w:spacing w:after="0" w:line="264" w:lineRule="auto"/>
              <w:ind w:righ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Питання з курсу «Нафтогазова механіка» </w:t>
            </w:r>
          </w:p>
          <w:p w:rsidR="004C2B5A" w:rsidRDefault="004C2B5A" w:rsidP="004C2B5A">
            <w:pPr>
              <w:spacing w:after="0" w:line="264" w:lineRule="auto"/>
              <w:ind w:righ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(«Фізика пласта»</w:t>
            </w:r>
            <w:r w:rsidR="000C642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C642D" w:rsidRDefault="000C642D" w:rsidP="004C2B5A">
            <w:pPr>
              <w:spacing w:after="0" w:line="264" w:lineRule="auto"/>
              <w:ind w:righ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2B5A" w:rsidRPr="00E471F6" w:rsidRDefault="000C642D" w:rsidP="000C642D">
            <w:pPr>
              <w:spacing w:after="0" w:line="264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/>
                <w:sz w:val="24"/>
                <w:szCs w:val="24"/>
              </w:rPr>
              <w:t>ФІЗИЧНІ ВЛАСТИВОСТІ ПОРІД-КОЛЕКТО-РІВ НАФТИ І ГАЗУ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Типи порід-колекторів та параметри, що їх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471F6">
              <w:rPr>
                <w:rFonts w:ascii="Times New Roman" w:hAnsi="Times New Roman"/>
                <w:sz w:val="24"/>
                <w:szCs w:val="24"/>
              </w:rPr>
              <w:t>арактеризують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>Гранулометричний склад гірських порід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>Пористість гірських порід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>Проникність гірських порід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Абсолютна проникність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>Фазова і відносна проникність гірських порід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7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>Залежність проникності від пористості та розміру пор.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Проникність тріщинуватих порід. Рівняння Бусінеска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Методи визначення проникності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Питома поверхня та радіус порових каналів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Нафтоводогазонасиченість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Карбонатність гірських порід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42D" w:rsidRPr="00E471F6" w:rsidRDefault="000C642D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/>
                <w:sz w:val="24"/>
                <w:szCs w:val="24"/>
              </w:rPr>
              <w:t>ФІЗИКО–МЕХАНІЧНІ І ТЕПЛОВІ ВЛАСТИ-ВОСТІ  ГІРСЬКИХ ПОРІД</w:t>
            </w:r>
            <w:r w:rsidRPr="00E47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Напружений стан порід в умовах залягання пласта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Напружений стан порід у зоні свердловини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Деформація і міцнісні властивості гірських порід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Пружні зміни властивостей колекторів у процесі розробки покладу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sz w:val="24"/>
                <w:szCs w:val="24"/>
              </w:rPr>
              <w:t xml:space="preserve">Пружні коливання в породах і їх акустичні властивості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Теплові властивості гірських порід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642D" w:rsidRPr="00E471F6" w:rsidRDefault="000C642D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ko-KR"/>
              </w:rPr>
              <w:t>ФІЗИЧНІ УМОВИ ЗАЛЯГАННЯ ВУГЛЕВОД-НІВ У ПОКЛАДІ</w:t>
            </w:r>
            <w:r w:rsidRPr="00E471F6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Природні резервуари нафти і газу та нафтогазоносні комплекси</w:t>
            </w:r>
            <w:r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uppressAutoHyphens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Покришки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uppressAutoHyphens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Пастки нафти і газу та їх типи</w:t>
            </w:r>
            <w:r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uppressAutoHyphens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Поклади нафти і газу та їх класифікація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uppressAutoHyphens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Родовища нафти і газу.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uppressAutoHyphens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Тиск і температура покладів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uppressAutoHyphens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Вимірювання  пластового тиску і температури.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uppressAutoHyphens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Неоднорідність колекторів нафти і газу.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Газогідратні оклади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Сланцеві поклади газу і нафти</w:t>
            </w:r>
          </w:p>
          <w:p w:rsidR="000C642D" w:rsidRPr="00E471F6" w:rsidRDefault="000C642D" w:rsidP="004C2B5A">
            <w:pPr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ko-KR"/>
              </w:rPr>
              <w:t>ХІМІЧНИЙ СКЛАД І ФІЗИЧНІ ВЛАСТИ-ВОСТІ ПРИРОДНИХ ГАЗІВ</w:t>
            </w:r>
            <w:r w:rsidRPr="00E471F6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eastAsia="ko-KR"/>
              </w:rPr>
              <w:t xml:space="preserve">Хімічний склад і класифікація природних газів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Основні закони газового стану ідеальних і реальних газів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Стан та параметри газових сумішей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Парціальний тиск і парціальний об’єм компонента в суміші </w:t>
            </w: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ідеальних газів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bCs/>
                <w:color w:val="000000"/>
                <w:spacing w:val="-13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Cs/>
                <w:color w:val="000000"/>
                <w:spacing w:val="-13"/>
                <w:sz w:val="24"/>
                <w:szCs w:val="24"/>
              </w:rPr>
              <w:lastRenderedPageBreak/>
              <w:t xml:space="preserve">Вміст важких вуглеводнів у суміші </w:t>
            </w:r>
            <w:r>
              <w:rPr>
                <w:rFonts w:ascii="Times New Roman" w:hAnsi="Times New Roman"/>
                <w:bCs/>
                <w:color w:val="000000"/>
                <w:spacing w:val="-13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Фізичні властивості природних газів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Густина природних газів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E471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’</w:t>
            </w: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язкість природного газу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Розчинність газу у нафті та воді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Термодинамічні властивості природного газу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Дроселювання газу 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Теплотворна здатність природного газу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властивості природного газу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642D" w:rsidRPr="00E471F6" w:rsidRDefault="000C642D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eastAsia="ko-KR"/>
              </w:rPr>
              <w:t>ХІМІЧНИЙ СКЛАД І ФІЗИЧНІ ВЛАСТИ-ВОСТІ НАФТИ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eastAsia="ko-KR"/>
              </w:rPr>
              <w:t>Склад і класифікація нафт</w:t>
            </w:r>
            <w: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Фізичні властивості пластових нафт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right="24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Тиск насичення нафти газом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eastAsia="ko-KR"/>
              </w:rPr>
              <w:t>Густина пластової нафти</w:t>
            </w:r>
            <w: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Вʼязкість пластової нафти</w:t>
            </w:r>
            <w:r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Стисливість нафти. Обʼємний коефіцієнт нафти</w:t>
            </w:r>
            <w:r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  <w:r w:rsidRPr="00E471F6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  <w:t xml:space="preserve">Структурно-механічні властивості аномально вʼязких нафт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Відбір проб і дослідження пластових ріди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</w:p>
          <w:p w:rsidR="000C642D" w:rsidRPr="00E471F6" w:rsidRDefault="000C642D" w:rsidP="004C2B5A">
            <w:pPr>
              <w:spacing w:after="0" w:line="264" w:lineRule="auto"/>
              <w:ind w:right="24"/>
              <w:jc w:val="both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spacing w:after="0" w:line="264" w:lineRule="auto"/>
              <w:ind w:right="24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ФАЗОВІ   РІВНОВАГИ   І   ПЕРЕТВОРЕННЯ В  СУМІШАХ  ПЛАСТОВИХ РІДИН  ТА  ГА-ЗІВ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spacing w:after="0" w:line="264" w:lineRule="auto"/>
              <w:ind w:right="24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Схема фазових перетворень однокомпонентних систем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Схема фазових перетворень дво- і багатокомпо-нентних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Вологовміст природних газів і газоконденсатних систем. Вплив води на фазові перетворення вуглеводнів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tabs>
                <w:tab w:val="num" w:pos="0"/>
              </w:tabs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Фазовий стан системи нафта-газ залежно від тиску і температури.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tabs>
                <w:tab w:val="num" w:pos="0"/>
              </w:tabs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Газоконденсатна характеристика покладу. Визначення властив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остей газоконденсатних сумішей</w:t>
            </w: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tabs>
                <w:tab w:val="num" w:pos="0"/>
              </w:tabs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Розрахунок фазових рівноваг вуглеводневих сумішей.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shd w:val="clear" w:color="auto" w:fill="FFFFFF"/>
              <w:tabs>
                <w:tab w:val="num" w:pos="0"/>
              </w:tabs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Газовий конденсат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642D" w:rsidRPr="00E471F6" w:rsidRDefault="000C642D" w:rsidP="004C2B5A">
            <w:pPr>
              <w:shd w:val="clear" w:color="auto" w:fill="FFFFFF"/>
              <w:tabs>
                <w:tab w:val="num" w:pos="0"/>
              </w:tabs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tabs>
                <w:tab w:val="num" w:pos="0"/>
              </w:tabs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КЛАСИФІКАЦІЯ ТА ФІЗИКО-ХІМІЧНІ ВЛАСТИВОСТІ ПЛАСТОВИХ ВОД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tabs>
                <w:tab w:val="num" w:pos="0"/>
              </w:tabs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Класифікація пластових вод нафтових і газових родовищ.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Залишкова вода.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Методи визначення кількості залишкової води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Основні  властивості пластових вод та параметри, що їх характеризують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Мінералізація і типи  пластових вод.</w:t>
            </w:r>
          </w:p>
          <w:p w:rsidR="000C642D" w:rsidRPr="00E471F6" w:rsidRDefault="000C642D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471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МОЛЕКУЛЯРНО-ПОВЕРХНЕВІ ЯВИЩА ТА КАПІЛЯРНІ ПРОЦЕСИ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Поверхневий натяг у суміші пластових рідин і на границі поверхні пористого середовища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-1447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Змочування поверхні пустотного простору породи. Краєвий кут змочування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Властивості поверхневих шарів у пластових системах.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Експериментальне визначення поверхневого натягу та </w:t>
            </w: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pgNum/>
              <w:t>краєвого кута змочування.</w:t>
            </w:r>
          </w:p>
          <w:p w:rsidR="000C642D" w:rsidRPr="00E471F6" w:rsidRDefault="000C642D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471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ФІЗИЧНІ  ОСНОВИ ВИЛУНЕННЯ НАФТИ, ГАЗУ І КОНДЕНСАТУ З ПОРИСТОГО СЕРЕДОВИЩА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Джерела пластової енергії. Сили, що діють у покладі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hd w:val="clear" w:color="auto" w:fill="FFFFFF"/>
              <w:spacing w:after="0" w:line="264" w:lineRule="auto"/>
              <w:ind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Фізична суть виникнення опорів  під час вилучення вуглеводнів з пласта та інших явищ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Дросельний ефект при фільтрації в пористому середовищ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40" w:lineRule="auto"/>
              <w:ind w:left="0" w:right="2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Фізичні основи механізму витіснення з пласта нафти водою і газом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Фізичні основи механізму вилучення з 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 конденсату.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Коефіцієнт нафтовилучення та чинники, що на нього впливають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Коефіцієнт газо- та конденсатовилучення.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0C642D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Експериментальні дослідження процесів витіс-нення нафти.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Default="004C2B5A" w:rsidP="000C642D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Експериментальні дослідження витіснення випавшого в пористому середовищі вуглевод-невого конденсату водою.</w:t>
            </w:r>
          </w:p>
          <w:p w:rsidR="000C642D" w:rsidRPr="00E471F6" w:rsidRDefault="000C642D" w:rsidP="000C642D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0C642D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ПІДВИЩЕННЯ НАФТОГАЗОКОНДЕНСА-ТОВИЛУЧЕННЯ  ПЛАСТІВ</w:t>
            </w:r>
            <w:r w:rsidR="000C64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Підвишення  нафтовилучення</w:t>
            </w:r>
            <w:r w:rsidR="000C64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0C642D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Фізичні основи гідродинамічних методів.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0C642D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Газові методи.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0C642D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Фізико-хімічні методи</w:t>
            </w:r>
            <w:r w:rsidR="000C64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0C642D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Теплові методи.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Підвищення газоконденсатовилучення пластів</w:t>
            </w:r>
            <w:r w:rsidR="000C64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Підвищення газовилучення газових родовищ при газовому режимі</w:t>
            </w:r>
            <w:r w:rsidR="000C64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Підвищення  газовилучення газових родовищ при </w:t>
            </w:r>
            <w:r w:rsidR="000C642D">
              <w:rPr>
                <w:rFonts w:ascii="Times New Roman" w:hAnsi="Times New Roman"/>
                <w:color w:val="000000"/>
                <w:sz w:val="24"/>
                <w:szCs w:val="24"/>
              </w:rPr>
              <w:t>водонапірному режимі</w:t>
            </w: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Основні напрями збільшення вуглеводневилу-чення газоконденсатних родовищ</w:t>
            </w:r>
            <w:r w:rsidR="000C64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pStyle w:val="a3"/>
              <w:spacing w:after="0" w:line="264" w:lineRule="auto"/>
              <w:ind w:left="0" w:righ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1F6">
              <w:rPr>
                <w:rFonts w:ascii="Times New Roman" w:hAnsi="Times New Roman"/>
                <w:color w:val="000000"/>
                <w:sz w:val="24"/>
                <w:szCs w:val="24"/>
              </w:rPr>
              <w:t>Збільшення вуглеводневилучення  газокон-денсатних родовищ з нафтовими облямівками і залишковою нафтою</w:t>
            </w:r>
            <w:r w:rsidR="000C64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2B5A" w:rsidRPr="00E471F6" w:rsidTr="004C2B5A">
        <w:tc>
          <w:tcPr>
            <w:tcW w:w="6566" w:type="dxa"/>
          </w:tcPr>
          <w:p w:rsidR="004C2B5A" w:rsidRPr="00E471F6" w:rsidRDefault="004C2B5A" w:rsidP="004C2B5A">
            <w:pPr>
              <w:spacing w:after="0" w:line="264" w:lineRule="auto"/>
              <w:ind w:left="426" w:right="24" w:hanging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669A" w:rsidRDefault="00AF669A"/>
    <w:sectPr w:rsidR="00AF669A" w:rsidSect="00AF6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B5A"/>
    <w:rsid w:val="000C642D"/>
    <w:rsid w:val="004C2B5A"/>
    <w:rsid w:val="00AF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5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2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2021-12-06T09:33:00Z</dcterms:created>
  <dcterms:modified xsi:type="dcterms:W3CDTF">2021-12-06T09:50:00Z</dcterms:modified>
</cp:coreProperties>
</file>