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2A44"/>
          <w:sz w:val="34"/>
          <w:szCs w:val="34"/>
        </w:rPr>
        <w:t xml:space="preserve">Практична робота 12 (фінальна)</w:t>
      </w:r>
    </w:p>
    <w:p>
      <w:pPr>
        <w:spacing w:after="20"/>
        <w:jc w:val="center"/>
      </w:pPr>
      <w:r>
        <w:rPr>
          <w:b/>
          <w:bCs/>
          <w:color w:val="0F6E7C"/>
          <w:sz w:val="26"/>
          <w:szCs w:val="26"/>
        </w:rPr>
        <w:t xml:space="preserve">Один кейс, увесь курс: клініка, чат-бот і межі відповідальності</w:t>
      </w:r>
    </w:p>
    <w:p>
      <w:pPr>
        <w:spacing w:after="300"/>
        <w:jc w:val="center"/>
      </w:pPr>
      <w:r>
        <w:rPr>
          <w:color w:val="595959"/>
          <w:sz w:val="20"/>
          <w:szCs w:val="20"/>
        </w:rPr>
        <w:t xml:space="preserve">До лекції 12 · «Технології штучного інтелекту та безпека даних» · Економіка і аналітика, 1 курс</w:t>
      </w:r>
    </w:p>
    <w:p>
      <w:pPr>
        <w:pBdr>
          <w:bottom w:val="single" w:color="0F6E7C" w:sz="6" w:space="4"/>
        </w:pBdr>
        <w:spacing w:after="140" w:before="280"/>
      </w:pPr>
      <w:r>
        <w:rPr>
          <w:b/>
          <w:bCs/>
          <w:color w:val="0F6E7C"/>
          <w:sz w:val="26"/>
          <w:szCs w:val="26"/>
        </w:rPr>
        <w:t xml:space="preserve">Загальна інформація для викладача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Формат:</w:t>
      </w:r>
      <w:r>
        <w:rPr>
          <w:sz w:val="22"/>
          <w:szCs w:val="22"/>
        </w:rPr>
        <w:t xml:space="preserve"> індивідуальна/парна робота — самостійний аналіз, потім перевірка реальним ШІ-інструментом + обмін екзаменаційними питаннями між парами.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Група:</w:t>
      </w:r>
      <w:r>
        <w:rPr>
          <w:sz w:val="22"/>
          <w:szCs w:val="22"/>
        </w:rPr>
        <w:t xml:space="preserve"> 8 студентів → 4 пари, кожній парі — один інструмент (</w:t>
      </w:r>
      <w:r>
        <w:rPr>
          <w:b/>
          <w:bCs/>
          <w:sz w:val="22"/>
          <w:szCs w:val="22"/>
        </w:rPr>
        <w:t xml:space="preserve">Claude, Gemini, ChatGPT, Copilot</w:t>
      </w:r>
      <w:r>
        <w:rPr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Матеріали:</w:t>
      </w:r>
      <w:r>
        <w:rPr>
          <w:sz w:val="22"/>
          <w:szCs w:val="22"/>
        </w:rPr>
        <w:t xml:space="preserve"> пристрій з доступом в інтернет на пару; конспект лекції 12 (зведені чек-листи) корисно мати під рукою.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Тривалість:</w:t>
      </w:r>
      <w:r>
        <w:rPr>
          <w:sz w:val="22"/>
          <w:szCs w:val="22"/>
        </w:rPr>
        <w:t xml:space="preserve"> ~60 хвилин.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Мета:</w:t>
      </w:r>
      <w:r>
        <w:rPr>
          <w:sz w:val="22"/>
          <w:szCs w:val="22"/>
        </w:rPr>
        <w:t xml:space="preserve"> застосувати одразу кілька чек-листів і наскрізних принципів курсу до одного нового комплексного кейсу — саме такий тип завдання очікує підсумковий контроль.</w:t>
      </w:r>
    </w:p>
    <w:p>
      <w:pPr>
        <w:spacing w:after="160" w:before="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 xml:space="preserve">Це остання практична робота курсу. На відміну від попередніх, тут немає нової теми — лише синтез і тренування навички, яка знадобиться на іспиті: розбирати ситуацію одразу з кількох боків, а не по одній лекції за раз.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5438"/>
        <w:gridCol w:w="1500"/>
      </w:tblGrid>
      <w:tr>
        <w:trPr>
          <w:tblHeader/>
        </w:trPr>
        <w:tc>
          <w:tcPr>
            <w:tcW w:type="dxa" w:w="2700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Крок</w:t>
            </w:r>
          </w:p>
        </w:tc>
        <w:tc>
          <w:tcPr>
            <w:tcW w:type="dxa" w:w="5438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Що відбувається</w:t>
            </w:r>
          </w:p>
        </w:tc>
        <w:tc>
          <w:tcPr>
            <w:tcW w:type="dxa" w:w="1500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Час</w:t>
            </w:r>
          </w:p>
        </w:tc>
      </w:tr>
      <w:tr>
        <w:trPr>
          <w:tblHeader w:val="false"/>
        </w:trP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0. Розподіл інструментів</w:t>
            </w:r>
          </w:p>
        </w:tc>
        <w:tc>
          <w:tcPr>
            <w:tcW w:type="dxa" w:w="54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Кожна пара отримує свій інструмент і відкриває його у браузері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5 хв</w:t>
            </w:r>
          </w:p>
        </w:tc>
      </w:tr>
      <w:tr>
        <w:trPr>
          <w:tblHeader w:val="false"/>
        </w:trP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1. Наскрізний кейс: самостійний аналіз</w:t>
            </w:r>
          </w:p>
        </w:tc>
        <w:tc>
          <w:tcPr>
            <w:tcW w:type="dxa" w:w="54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Застосування зведених чек-листів лекції 12 до нового кейсу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15 хв</w:t>
            </w:r>
          </w:p>
        </w:tc>
      </w:tr>
      <w:tr>
        <w:trPr>
          <w:tblHeader w:val="false"/>
        </w:trP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2. Друга думка від ШІ</w:t>
            </w:r>
          </w:p>
        </w:tc>
        <w:tc>
          <w:tcPr>
            <w:tcW w:type="dxa" w:w="54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Той самий кейс — очима моделі; порівнюємо, що збіглося, а що ні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10 хв</w:t>
            </w:r>
          </w:p>
        </w:tc>
      </w:tr>
      <w:tr>
        <w:trPr>
          <w:tblHeader w:val="false"/>
        </w:trP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3. Матриця рішень для трьох функцій</w:t>
            </w:r>
          </w:p>
        </w:tc>
        <w:tc>
          <w:tcPr>
            <w:tcW w:type="dxa" w:w="54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Один продукт — три різні профілі ризику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10 хв</w:t>
            </w:r>
          </w:p>
        </w:tc>
      </w:tr>
      <w:tr>
        <w:trPr>
          <w:tblHeader w:val="false"/>
        </w:trP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4. Складіть своє екзаменаційне питання</w:t>
            </w:r>
          </w:p>
        </w:tc>
        <w:tc>
          <w:tcPr>
            <w:tcW w:type="dxa" w:w="54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Пари обмінюються питаннями й відповідають одна одній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10 хв</w:t>
            </w:r>
          </w:p>
        </w:tc>
      </w:tr>
      <w:tr>
        <w:trPr>
          <w:tblHeader w:val="false"/>
        </w:trP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5. Фінальне зведення й рефлексія</w:t>
            </w:r>
          </w:p>
        </w:tc>
        <w:tc>
          <w:tcPr>
            <w:tcW w:type="dxa" w:w="54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Підсумок практичної частини курсу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10 хв</w:t>
            </w:r>
          </w:p>
        </w:tc>
      </w:tr>
    </w:tbl>
    <w:p>
      <w:pPr>
        <w:spacing w:before="240"/>
      </w:pPr>
    </w:p>
    <w:p>
      <w:pPr>
        <w:spacing w:after="120"/>
      </w:pPr>
      <w:r>
        <w:rPr>
          <w:b/>
          <w:bCs/>
          <w:sz w:val="22"/>
          <w:szCs w:val="22"/>
        </w:rPr>
        <w:t xml:space="preserve">Розподіл пар (заповніть перед парою):</w:t>
      </w:r>
    </w:p>
    <w:tbl>
      <w:tblPr>
        <w:tblW w:type="dxa" w:w="9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038"/>
      </w:tblGrid>
      <w:tr>
        <w:trPr>
          <w:tblHeader/>
        </w:trPr>
        <w:tc>
          <w:tcPr>
            <w:tcW w:type="dxa" w:w="2200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Інструмент</w:t>
            </w:r>
          </w:p>
        </w:tc>
        <w:tc>
          <w:tcPr>
            <w:tcW w:type="dxa" w:w="7038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 xml:space="preserve">Пара (імена)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 xml:space="preserve">Claude</w:t>
            </w:r>
          </w:p>
        </w:tc>
        <w:tc>
          <w:tcPr>
            <w:tcW w:type="dxa" w:w="70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 xml:space="preserve">Gemini</w:t>
            </w:r>
          </w:p>
        </w:tc>
        <w:tc>
          <w:tcPr>
            <w:tcW w:type="dxa" w:w="70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 xml:space="preserve">ChatGPT</w:t>
            </w:r>
          </w:p>
        </w:tc>
        <w:tc>
          <w:tcPr>
            <w:tcW w:type="dxa" w:w="70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 xml:space="preserve">Copilot</w:t>
            </w:r>
          </w:p>
        </w:tc>
        <w:tc>
          <w:tcPr>
            <w:tcW w:type="dxa" w:w="70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spacing w:after="160" w:before="300"/>
      </w:pPr>
      <w:r>
        <w:rPr>
          <w:b/>
          <w:bCs/>
          <w:color w:val="1F2A44"/>
          <w:sz w:val="32"/>
          <w:szCs w:val="32"/>
        </w:rPr>
        <w:t xml:space="preserve">Крок 1. Наскрізний кейс: самостійний аналіз (15 хв)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Кейс:</w:t>
      </w:r>
      <w:r>
        <w:rPr>
          <w:sz w:val="22"/>
          <w:szCs w:val="22"/>
        </w:rPr>
        <w:t xml:space="preserve"> Мережа приватних медичних клінік «Панацея» (12 філій) планує впровадити ШІ-чат-бота на своєму сайті з трьома функціями: (1) відповідати на загальні запитання про послуги й ціни; (2) допомагати пацієнтам попередньо описати симптоми перед записом до лікаря; (3) автоматично формувати короткий підсумок цього опису для лікаря перед прийомом.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Самостійно (командою) дайте відповідь на кожне з питань, спираючись на зведені чек-листи лекції 12: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1. Класифікація даних (лекція 7): які саме дані тут задіяні, і до якого рівня чутливості вони належать? Чи є серед них особлива категорія персональних даних?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2. Мінімізація (лекція 8): де в цьому кейсі найбільший ризик того, що дані потраплять у публічний ШІ-інструмент без потреби?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3. Відповідальність (лекція 9): хто відповідає, якщо автоматичний підсумок симптомів введе лікаря в оману й це вплине на діагноз?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4. Організаційна політика (лекція 11): яка вимога до governance тут найважливіша — рівень доступу, навчання персоналу, чи щось інше?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160" w:before="300"/>
      </w:pPr>
      <w:r>
        <w:rPr>
          <w:b/>
          <w:bCs/>
          <w:color w:val="1F2A44"/>
          <w:sz w:val="32"/>
          <w:szCs w:val="32"/>
        </w:rPr>
        <w:t xml:space="preserve">Крок 2. Друга думка від ШІ (10 хв)</w:t>
      </w:r>
    </w:p>
    <w:p>
      <w:pPr>
        <w:spacing w:after="120"/>
      </w:pPr>
      <w:r>
        <w:rPr>
          <w:sz w:val="22"/>
          <w:szCs w:val="22"/>
        </w:rPr>
        <w:t xml:space="preserve">Інструмент вашої пари: __________________</w:t>
      </w:r>
    </w:p>
    <w:p>
      <w:pPr>
        <w:spacing w:after="120"/>
      </w:pPr>
      <w:r>
        <w:rPr>
          <w:sz w:val="22"/>
          <w:szCs w:val="22"/>
        </w:rPr>
        <w:t xml:space="preserve">Надішліть інструменту той самий кейс і подивіться, які проблеми він виявить самостійно:</w:t>
      </w:r>
    </w:p>
    <w:p>
      <w:pPr>
        <w:pBdr>
          <w:top w:val="single" w:color="CBD5E0" w:sz="4"/>
          <w:bottom w:val="single" w:color="CBD5E0" w:sz="4"/>
          <w:left w:val="single" w:color="CBD5E0" w:sz="4"/>
          <w:right w:val="single" w:color="CBD5E0" w:sz="4"/>
        </w:pBdr>
        <w:shd w:fill="F4F6F8" w:val="clear"/>
        <w:spacing w:after="160" w:before="10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 xml:space="preserve">«Мережа приватних медичних клінік планує впровадити ШІ-чат-бота на сайті з трьома функціями: відповіді на загальні запитання про послуги й ціни; допомога пацієнтам попередньо описати симптоми перед записом; автоматичний підсумок цього опису для лікаря. Які основні ризики й вимоги ти бачиш із погляду захисту даних, права та безпеки?»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Позначте, що модель згадала САМА, без підказки: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☐ Особливу категорію персональних даних (здоров'я)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☐ Потребу в угоді про обробку даних чи корпоративному рівні доступу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☐ Питання відповідальності за автоматичний підсумок симптомів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☐ Вищий рівень ризику за AI Act для медичних функцій порівняно з FAQ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☐ Потребу в людському нагляді (лікар перевіряє підсумок, а не покладається на нього)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Що модель помітила, а ваша команда — ні? І навпаки?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160" w:before="300"/>
      </w:pPr>
      <w:r>
        <w:rPr>
          <w:b/>
          <w:bCs/>
          <w:color w:val="1F2A44"/>
          <w:sz w:val="32"/>
          <w:szCs w:val="32"/>
        </w:rPr>
        <w:t xml:space="preserve">Крок 3. Матриця рішень для трьох функцій (10 хв)</w:t>
      </w:r>
    </w:p>
    <w:p>
      <w:pPr>
        <w:spacing w:after="120"/>
      </w:pPr>
      <w:r>
        <w:rPr>
          <w:sz w:val="22"/>
          <w:szCs w:val="22"/>
        </w:rPr>
        <w:t xml:space="preserve">Команда: __________________</w:t>
      </w:r>
    </w:p>
    <w:p>
      <w:pPr>
        <w:spacing w:after="120"/>
      </w:pPr>
      <w:r>
        <w:rPr>
          <w:sz w:val="22"/>
          <w:szCs w:val="22"/>
        </w:rPr>
        <w:t xml:space="preserve">Пор. лекцію 12, п. 7 (матриця «ціна помилки / оборотність рішення»). Один продукт — але три функції можуть мати зовсім різний профіль ризику. Розмістіть кожну з трьох функцій чат-бота в матриці:</w:t>
      </w:r>
    </w:p>
    <w:tbl>
      <w:tblPr>
        <w:tblW w:type="dxa" w:w="90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19"/>
        <w:gridCol w:w="3319"/>
      </w:tblGrid>
      <w:tr>
        <w:trPr>
          <w:tblHeader/>
        </w:trPr>
        <w:tc>
          <w:tcPr>
            <w:tcW w:type="dxa" w:w="2400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319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Легко виправити</w:t>
            </w:r>
          </w:p>
        </w:tc>
        <w:tc>
          <w:tcPr>
            <w:tcW w:type="dxa" w:w="3319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Важко виправити</w:t>
            </w:r>
          </w:p>
        </w:tc>
      </w:tr>
      <w:tr>
        <w:tc>
          <w:tcPr>
            <w:tcW w:type="dxa" w:w="2400"/>
            <w:shd w:fill="F4F6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Висока ціна помилки</w:t>
            </w:r>
          </w:p>
        </w:tc>
        <w:tc>
          <w:tcPr>
            <w:tcW w:type="dxa" w:w="3319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3319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400"/>
            <w:shd w:fill="F4F6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Низька ціна помилки</w:t>
            </w:r>
          </w:p>
        </w:tc>
        <w:tc>
          <w:tcPr>
            <w:tcW w:type="dxa" w:w="3319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3319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before="200"/>
      </w:pPr>
    </w:p>
    <w:p>
      <w:pPr>
        <w:spacing w:after="120"/>
      </w:pPr>
      <w:r>
        <w:rPr>
          <w:b/>
          <w:bCs/>
          <w:sz w:val="22"/>
          <w:szCs w:val="22"/>
        </w:rPr>
        <w:t xml:space="preserve">Впишіть номери функцій (1 — відповіді про послуги й ціни; 2 — попередній опис симптомів; 3 — підсумок для лікаря) у відповідні клітинки вище.</w:t>
      </w:r>
    </w:p>
    <w:p>
      <w:pPr>
        <w:spacing w:after="120"/>
      </w:pPr>
      <w:r>
        <w:rPr>
          <w:sz w:val="22"/>
          <w:szCs w:val="22"/>
        </w:rPr>
        <w:t xml:space="preserve">Яка з трьох функцій вимагає найсуворішого контролю — і чи це та сама функція, яку компанія, найімовірніше, вважає «найкориснішою» для впровадження?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160" w:before="300"/>
      </w:pPr>
      <w:r>
        <w:rPr>
          <w:b/>
          <w:bCs/>
          <w:color w:val="1F2A44"/>
          <w:sz w:val="32"/>
          <w:szCs w:val="32"/>
        </w:rPr>
        <w:t xml:space="preserve">Крок 4. Складіть своє екзаменаційне питання (10 хв)</w:t>
      </w:r>
    </w:p>
    <w:p>
      <w:pPr>
        <w:spacing w:after="120"/>
      </w:pPr>
      <w:r>
        <w:rPr>
          <w:sz w:val="22"/>
          <w:szCs w:val="22"/>
        </w:rPr>
        <w:t xml:space="preserve">Пор. лекцію 12, п. 11 (типи завдань підсумкового контролю). Складіть одне запитання в дусі підсумкового контролю — на основі кейсу з кроку 1 </w:t>
      </w:r>
      <w:r>
        <w:rPr>
          <w:b/>
          <w:bCs/>
          <w:sz w:val="22"/>
          <w:szCs w:val="22"/>
        </w:rPr>
        <w:t xml:space="preserve">або</w:t>
      </w:r>
      <w:r>
        <w:rPr>
          <w:sz w:val="22"/>
          <w:szCs w:val="22"/>
        </w:rPr>
        <w:t xml:space="preserve"> будь-якої іншої теми курсу, яка вам запам'яталась.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Ваше запитання: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Ваша власна відповідь (модельна, для ключа):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Тепер обміняйтесь запитаннями з сусідньою парою (не показуючи свою відповідь) і дайте відповідь на ЇХНЄ запитання нижче: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/>
        </w:pBdr>
        <w:spacing w:after="20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160" w:before="300"/>
      </w:pPr>
      <w:r>
        <w:rPr>
          <w:b/>
          <w:bCs/>
          <w:color w:val="1F2A44"/>
          <w:sz w:val="32"/>
          <w:szCs w:val="32"/>
        </w:rPr>
        <w:t xml:space="preserve">Крок 5. Фінальне зведення й рефлексія (10 хв)</w:t>
      </w:r>
    </w:p>
    <w:p>
      <w:pPr>
        <w:spacing w:after="120"/>
      </w:pPr>
      <w:r>
        <w:rPr>
          <w:sz w:val="22"/>
          <w:szCs w:val="22"/>
        </w:rPr>
        <w:t xml:space="preserve">Обійдіть інші пари (або скористайтесь дошкою) і порівняйте, що знайшла кожна пара в кроках 1–2.</w:t>
      </w:r>
    </w:p>
    <w:tbl>
      <w:tblPr>
        <w:tblW w:type="dxa" w:w="9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38"/>
        <w:gridCol w:w="1700"/>
        <w:gridCol w:w="1700"/>
        <w:gridCol w:w="1700"/>
        <w:gridCol w:w="1700"/>
      </w:tblGrid>
      <w:tr>
        <w:trPr>
          <w:tblHeader/>
        </w:trPr>
        <w:tc>
          <w:tcPr>
            <w:tcW w:type="dxa" w:w="2438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Показник</w:t>
            </w:r>
          </w:p>
        </w:tc>
        <w:tc>
          <w:tcPr>
            <w:tcW w:type="dxa" w:w="1700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Claude</w:t>
            </w:r>
          </w:p>
        </w:tc>
        <w:tc>
          <w:tcPr>
            <w:tcW w:type="dxa" w:w="1700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Gemini</w:t>
            </w:r>
          </w:p>
        </w:tc>
        <w:tc>
          <w:tcPr>
            <w:tcW w:type="dxa" w:w="1700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ChatGPT</w:t>
            </w:r>
          </w:p>
        </w:tc>
        <w:tc>
          <w:tcPr>
            <w:tcW w:type="dxa" w:w="1700"/>
            <w:shd w:fill="1F2A4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Copilot</w:t>
            </w:r>
          </w:p>
        </w:tc>
      </w:tr>
      <w:tr>
        <w:tc>
          <w:tcPr>
            <w:tcW w:type="dxa" w:w="2438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Крок 2: пунктів згадано (з 5)</w:t>
            </w:r>
          </w:p>
        </w:tc>
        <w:tc>
          <w:tcPr>
            <w:tcW w:type="dxa" w:w="17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before="240"/>
      </w:pPr>
    </w:p>
    <w:p>
      <w:pPr>
        <w:spacing w:after="120"/>
      </w:pPr>
      <w:r>
        <w:rPr>
          <w:b/>
          <w:bCs/>
          <w:sz w:val="22"/>
          <w:szCs w:val="22"/>
        </w:rPr>
        <w:t xml:space="preserve">1. Що виявилось складнішим — самостійно проаналізувати кейс чи оцінити, наскільки повною була відповідь моделі? Чому?</w:t>
      </w:r>
    </w:p>
    <w:p>
      <w:pPr>
        <w:pBdr>
          <w:bottom w:val="single" w:color="999999" w:sz="4"/>
        </w:pBdr>
        <w:spacing w:after="8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/>
        </w:pBdr>
        <w:spacing w:after="220"/>
      </w:pPr>
      <w:r>
        <w:rPr>
          <w:sz w:val="22"/>
          <w:szCs w:val="22"/>
        </w:rPr>
        <w:t xml:space="preserve"> 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2. Яка з трьох функцій чат-бота у кроці 3 виявилась найризикованішою? Чи це змінює вашу відповідь на запитання «чи варто взагалі впроваджувати цю функцію»?</w:t>
      </w:r>
    </w:p>
    <w:p>
      <w:pPr>
        <w:pBdr>
          <w:bottom w:val="single" w:color="999999" w:sz="4"/>
        </w:pBdr>
        <w:spacing w:after="8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/>
        </w:pBdr>
        <w:spacing w:after="220"/>
      </w:pPr>
      <w:r>
        <w:rPr>
          <w:sz w:val="22"/>
          <w:szCs w:val="22"/>
        </w:rPr>
        <w:t xml:space="preserve"> 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3. Наскільки легко (чи важко) було відповісти на запитання іншої пари в кроці 4? Що це говорить про якість вашого власного запитання?</w:t>
      </w:r>
    </w:p>
    <w:p>
      <w:pPr>
        <w:pBdr>
          <w:bottom w:val="single" w:color="999999" w:sz="4"/>
        </w:pBdr>
        <w:spacing w:after="8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/>
        </w:pBdr>
        <w:spacing w:after="220"/>
      </w:pPr>
      <w:r>
        <w:rPr>
          <w:sz w:val="22"/>
          <w:szCs w:val="22"/>
        </w:rPr>
        <w:t xml:space="preserve"> 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4. Яка одна тема з усього курсу (12 лекцій) видається вам найкориснішою для вашої майбутньої професійної діяльності? Обґрунтуйте одним реченням.</w:t>
      </w:r>
    </w:p>
    <w:p>
      <w:pPr>
        <w:pBdr>
          <w:bottom w:val="single" w:color="999999" w:sz="4"/>
        </w:pBdr>
        <w:spacing w:after="80"/>
      </w:pPr>
      <w:r>
        <w:rPr>
          <w:sz w:val="22"/>
          <w:szCs w:val="22"/>
        </w:rPr>
        <w:t xml:space="preserve"> </w:t>
      </w:r>
    </w:p>
    <w:p>
      <w:pPr>
        <w:pBdr>
          <w:bottom w:val="single" w:color="999999" w:sz="4"/>
        </w:pBdr>
        <w:spacing w:after="220"/>
      </w:pPr>
      <w:r>
        <w:rPr>
          <w:sz w:val="22"/>
          <w:szCs w:val="22"/>
        </w:rPr>
        <w:t xml:space="preserve"> </w:t>
      </w:r>
    </w:p>
    <w:p>
      <w:pPr>
        <w:spacing w:before="300"/>
      </w:pPr>
    </w:p>
    <w:p>
      <w:pPr>
        <w:shd w:fill="DCEEF3" w:val="clear"/>
        <w:spacing w:after="100" w:before="100"/>
      </w:pPr>
      <w:r>
        <w:rPr>
          <w:b/>
          <w:bCs/>
          <w:i/>
          <w:iCs/>
          <w:color w:val="1F2A44"/>
          <w:sz w:val="24"/>
          <w:szCs w:val="24"/>
        </w:rPr>
        <w:t xml:space="preserve">Дякуємо за курс! Успіхів на підсумковому контролі.</w:t>
      </w:r>
    </w:p>
    <w:p>
      <w:r>
        <w:br w:type="page"/>
      </w:r>
    </w:p>
    <w:p>
      <w:pPr>
        <w:shd w:fill="FDECEC" w:val="clear"/>
        <w:spacing w:after="200" w:before="0"/>
      </w:pPr>
      <w:r>
        <w:rPr>
          <w:b/>
          <w:bCs/>
          <w:color w:val="B03A2E"/>
          <w:sz w:val="26"/>
          <w:szCs w:val="26"/>
        </w:rPr>
        <w:t xml:space="preserve">ДЛЯ ВИКЛАДАЧА — НЕ РОЗДАВАТИ СТУДЕНТАМ</w:t>
      </w:r>
    </w:p>
    <w:p>
      <w:pPr>
        <w:pBdr>
          <w:bottom w:val="single" w:color="0F6E7C" w:sz="6" w:space="4"/>
        </w:pBdr>
        <w:spacing w:after="140" w:before="280"/>
      </w:pPr>
      <w:r>
        <w:rPr>
          <w:b/>
          <w:bCs/>
          <w:color w:val="0F6E7C"/>
          <w:sz w:val="26"/>
          <w:szCs w:val="26"/>
        </w:rPr>
        <w:t xml:space="preserve">Ключ до кроку 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1. Класифікація даних:</w:t>
      </w:r>
      <w:r>
        <w:rPr>
          <w:sz w:val="22"/>
          <w:szCs w:val="22"/>
        </w:rPr>
        <w:t xml:space="preserve"> дані про здоров'я (описи симптомів) — персональні дані </w:t>
      </w:r>
      <w:r>
        <w:rPr>
          <w:b/>
          <w:bCs/>
          <w:sz w:val="22"/>
          <w:szCs w:val="22"/>
        </w:rPr>
        <w:t xml:space="preserve">особливої категорії</w:t>
      </w:r>
      <w:r>
        <w:rPr>
          <w:sz w:val="22"/>
          <w:szCs w:val="22"/>
        </w:rPr>
        <w:t xml:space="preserve"> (лекція 7); контактні дані для запису — звичайні персональні дані; ціни й опис послуг — публічна інформація.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2. Мінімізація:</w:t>
      </w:r>
      <w:r>
        <w:rPr>
          <w:sz w:val="22"/>
          <w:szCs w:val="22"/>
        </w:rPr>
        <w:t xml:space="preserve"> найбільший ризик — якщо функції 2 і 3 (опис симптомів, підсумок для лікаря) реалізовані через публічний, а не корпоративний інструмент без угоди про обробку даних (пор. лекцію 8).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3. Відповідальність:</w:t>
      </w:r>
      <w:r>
        <w:rPr>
          <w:sz w:val="22"/>
          <w:szCs w:val="22"/>
        </w:rPr>
        <w:t xml:space="preserve"> відповідальність за медичне рішення завжди залишається на лікарі й клініці як юридичній особі (пор. принцип «людина-оператор» з лекцій 3 і 9) — чат-бот є допоміжним інструментом, а не діагностичним; це має бути прямо прописано в дизайні продукту й комунікації з пацієнтами.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4. Governance:</w:t>
      </w:r>
      <w:r>
        <w:rPr>
          <w:sz w:val="22"/>
          <w:szCs w:val="22"/>
        </w:rPr>
        <w:t xml:space="preserve"> найважливіше — рівень доступу (лекція 11): функції 2–3 повинні використовувати виключно аудитований чи корпоративний рівень (рівень 3 з матриці лекції 11), а не публічний безкоштовний інструмент.</w:t>
      </w:r>
    </w:p>
    <w:p>
      <w:pPr>
        <w:spacing w:after="160" w:before="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 xml:space="preserve">Це навмисно багатошаровий кейс — не очікуйте, що команди дадуть вичерпну відповідь на все за 15 хвилин. Мета — практика самого підходу «розглянути з кількох боків», а не ідеальна повнота.</w:t>
      </w:r>
    </w:p>
    <w:p>
      <w:pPr>
        <w:spacing w:before="240"/>
      </w:pPr>
    </w:p>
    <w:p>
      <w:pPr>
        <w:pBdr>
          <w:bottom w:val="single" w:color="0F6E7C" w:sz="6" w:space="4"/>
        </w:pBdr>
        <w:spacing w:after="140" w:before="280"/>
      </w:pPr>
      <w:r>
        <w:rPr>
          <w:b/>
          <w:bCs/>
          <w:color w:val="0F6E7C"/>
          <w:sz w:val="26"/>
          <w:szCs w:val="26"/>
        </w:rPr>
        <w:t xml:space="preserve">Нотатки до кроку 2</w:t>
      </w:r>
    </w:p>
    <w:p>
      <w:pPr>
        <w:spacing w:after="120"/>
      </w:pPr>
      <w:r>
        <w:rPr>
          <w:sz w:val="22"/>
          <w:szCs w:val="22"/>
        </w:rPr>
        <w:t xml:space="preserve">Сильні сучасні моделі зазвичай добре розпізнають, що дані про здоров'я — особлива категорія, і згадують потребу в посиленому захисті. Пункти про human oversight і рівень ризику AI Act згадуються рідше без прямого запитання.</w:t>
      </w:r>
    </w:p>
    <w:p>
      <w:pPr>
        <w:spacing w:after="160" w:before="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 xml:space="preserve">Найцінніший момент обговорення — не «хто виграв, людина чи ШІ», а сам факт, що ОБИДВІ сторони, ймовірно, разом покриють більше аспектів кейсу, ніж будь-яка окремо. Це і є практичний висновок про роль ШІ як інструменту (а не заміни) професійного судження, наскрізний для всього курсу.</w:t>
      </w:r>
    </w:p>
    <w:p>
      <w:pPr>
        <w:spacing w:before="240"/>
      </w:pPr>
    </w:p>
    <w:p>
      <w:pPr>
        <w:pBdr>
          <w:bottom w:val="single" w:color="0F6E7C" w:sz="6" w:space="4"/>
        </w:pBdr>
        <w:spacing w:after="140" w:before="280"/>
      </w:pPr>
      <w:r>
        <w:rPr>
          <w:b/>
          <w:bCs/>
          <w:color w:val="0F6E7C"/>
          <w:sz w:val="26"/>
          <w:szCs w:val="26"/>
        </w:rPr>
        <w:t xml:space="preserve">Нотатки до кроку 3</w:t>
      </w:r>
    </w:p>
    <w:p>
      <w:pPr>
        <w:spacing w:after="120"/>
      </w:pPr>
      <w:r>
        <w:rPr>
          <w:sz w:val="22"/>
          <w:szCs w:val="22"/>
        </w:rPr>
        <w:t xml:space="preserve">Орієнтовний розподіл: </w:t>
      </w:r>
      <w:r>
        <w:rPr>
          <w:b/>
          <w:bCs/>
          <w:sz w:val="22"/>
          <w:szCs w:val="22"/>
        </w:rPr>
        <w:t xml:space="preserve">функція 1</w:t>
      </w:r>
      <w:r>
        <w:rPr>
          <w:sz w:val="22"/>
          <w:szCs w:val="22"/>
        </w:rPr>
        <w:t xml:space="preserve"> (загальні питання про послуги/ціни) — низька ціна помилки, легко виправити. </w:t>
      </w:r>
      <w:r>
        <w:rPr>
          <w:b/>
          <w:bCs/>
          <w:sz w:val="22"/>
          <w:szCs w:val="22"/>
        </w:rPr>
        <w:t xml:space="preserve">Функція 2</w:t>
      </w:r>
      <w:r>
        <w:rPr>
          <w:sz w:val="22"/>
          <w:szCs w:val="22"/>
        </w:rPr>
        <w:t xml:space="preserve"> (опис симптомів) — вища ціна помилки (стосується здоров'я), помірна оборотність. </w:t>
      </w:r>
      <w:r>
        <w:rPr>
          <w:b/>
          <w:bCs/>
          <w:sz w:val="22"/>
          <w:szCs w:val="22"/>
        </w:rPr>
        <w:t xml:space="preserve">Функція 3</w:t>
      </w:r>
      <w:r>
        <w:rPr>
          <w:sz w:val="22"/>
          <w:szCs w:val="22"/>
        </w:rPr>
        <w:t xml:space="preserve"> (підсумок для лікаря) — найвища ціна помилки й найважче виправити (може вплинути на медичне рішення, наслідки для здоров'я пацієнта).</w:t>
      </w:r>
    </w:p>
    <w:p>
      <w:pPr>
        <w:spacing w:after="160" w:before="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 xml:space="preserve">Очікуваний інсайт групи: саме функція 3 — ймовірно, найкорисніша з погляду економії часу лікаря — водночас вимагає найсуворішого контролю. Це прямий приклад того, чому «цінність» і «складність/ризик» потрібно оцінювати окремо, а не припускати, що корисніше = безпечніше.</w:t>
      </w:r>
    </w:p>
    <w:p>
      <w:pPr>
        <w:spacing w:before="240"/>
      </w:pPr>
    </w:p>
    <w:p>
      <w:pPr>
        <w:pBdr>
          <w:bottom w:val="single" w:color="0F6E7C" w:sz="6" w:space="4"/>
        </w:pBdr>
        <w:spacing w:after="140" w:before="280"/>
      </w:pPr>
      <w:r>
        <w:rPr>
          <w:b/>
          <w:bCs/>
          <w:color w:val="0F6E7C"/>
          <w:sz w:val="26"/>
          <w:szCs w:val="26"/>
        </w:rPr>
        <w:t xml:space="preserve">Нотатки до кроку 4</w:t>
      </w:r>
    </w:p>
    <w:p>
      <w:pPr>
        <w:spacing w:after="120"/>
      </w:pPr>
      <w:r>
        <w:rPr>
          <w:sz w:val="22"/>
          <w:szCs w:val="22"/>
        </w:rPr>
        <w:t xml:space="preserve">Заохочуйте питання, що вимагають застосування принципу, а не відтворення визначення — саме такий тип завдань очікує підсумковий контроль (пор. лекцію 12, п. 11). Якщо пара написала суто відтворювальне питання («що таке персональні дані?») — це нагода нагадати про різницю між заучуванням і застосуванням.</w:t>
      </w:r>
    </w:p>
    <w:p>
      <w:pPr>
        <w:spacing w:before="240"/>
      </w:pPr>
    </w:p>
    <w:p>
      <w:pPr>
        <w:pBdr>
          <w:bottom w:val="single" w:color="0F6E7C" w:sz="6" w:space="4"/>
        </w:pBdr>
        <w:spacing w:after="140" w:before="280"/>
      </w:pPr>
      <w:r>
        <w:rPr>
          <w:b/>
          <w:bCs/>
          <w:color w:val="0F6E7C"/>
          <w:sz w:val="26"/>
          <w:szCs w:val="26"/>
        </w:rPr>
        <w:t xml:space="preserve">Орієнтовні критерії оцінювання (за потреби)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Заповнені відповіді кроку 1 на всі чотири питання.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Заповнені позначки й порівняння кроку 2.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Заповнена матриця кроку 3 з обґрунтуванням.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Складене питання, власна відповідь і відповідь на питання іншої пари в кроці 4.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Письмові відповіді на всі чотири питання фінальної рефлексії.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Загальна шкала: 5 елементів по 0–2 бали кожен = максимум 10 балів за цю (фінальну, дещо об'ємнішу) практичну роботу.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2026-09-13T15:57:49.325Z</dcterms:created>
  <dcterms:modified xsi:type="dcterms:W3CDTF">2026-09-13T15:57:49.326Z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